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4722FB" w14:paraId="131B86C3" w14:textId="77777777" w:rsidTr="00504D61">
        <w:trPr>
          <w:trHeight w:val="652"/>
          <w:jc w:val="center"/>
        </w:trPr>
        <w:tc>
          <w:tcPr>
            <w:tcW w:w="3335" w:type="dxa"/>
            <w:tcBorders>
              <w:right w:val="single" w:sz="4" w:space="0" w:color="44546A" w:themeColor="text2"/>
            </w:tcBorders>
            <w:shd w:val="clear" w:color="auto" w:fill="1F3864" w:themeFill="accent1" w:themeFillShade="80"/>
          </w:tcPr>
          <w:p w14:paraId="13B1E87D" w14:textId="77777777" w:rsidR="004722FB" w:rsidRPr="005D05AA" w:rsidRDefault="004722FB" w:rsidP="004722FB">
            <w:pPr>
              <w:jc w:val="center"/>
              <w:rPr>
                <w:rFonts w:cs="Arial"/>
                <w:color w:val="FFFFFF" w:themeColor="background1"/>
                <w:sz w:val="32"/>
                <w:szCs w:val="32"/>
                <w:shd w:val="clear" w:color="auto" w:fill="1F3864" w:themeFill="accent1" w:themeFillShade="80"/>
                <w:lang w:val="en-GB"/>
              </w:rPr>
            </w:pPr>
          </w:p>
          <w:p w14:paraId="460CA835" w14:textId="297210B1" w:rsidR="004722FB" w:rsidRPr="00906B87" w:rsidRDefault="004722FB" w:rsidP="004722FB">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6B7BD1">
              <w:rPr>
                <w:rFonts w:cs="Arial"/>
                <w:color w:val="FFFFFF" w:themeColor="background1"/>
                <w:sz w:val="32"/>
                <w:szCs w:val="32"/>
                <w:shd w:val="clear" w:color="auto" w:fill="1F3864" w:themeFill="accent1" w:themeFillShade="80"/>
                <w:lang w:val="en-US"/>
              </w:rPr>
              <w:t>contribution</w:t>
            </w:r>
          </w:p>
          <w:p w14:paraId="53B8847D" w14:textId="0D2E58AD"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0E102614" w14:textId="77777777" w:rsidR="004722FB" w:rsidRDefault="004722FB" w:rsidP="00906B87">
            <w:pPr>
              <w:jc w:val="center"/>
              <w:rPr>
                <w:rFonts w:cs="Arial"/>
                <w:color w:val="FFFFFF" w:themeColor="background1"/>
                <w:sz w:val="32"/>
                <w:szCs w:val="32"/>
                <w:shd w:val="clear" w:color="auto" w:fill="1F3864" w:themeFill="accent1" w:themeFillShade="80"/>
                <w:lang w:val="en-US"/>
              </w:rPr>
            </w:pPr>
          </w:p>
          <w:p w14:paraId="720499DE" w14:textId="0F164325" w:rsidR="00742FA8" w:rsidRPr="00906B87" w:rsidRDefault="004722FB" w:rsidP="00906B87">
            <w:pPr>
              <w:jc w:val="center"/>
              <w:rPr>
                <w:rFonts w:cs="Arial"/>
                <w:color w:val="FFFFFF" w:themeColor="background1"/>
                <w:sz w:val="32"/>
                <w:szCs w:val="3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352E7D">
              <w:rPr>
                <w:rFonts w:cs="Arial"/>
                <w:color w:val="FFFFFF" w:themeColor="background1"/>
                <w:sz w:val="32"/>
                <w:szCs w:val="32"/>
                <w:shd w:val="clear" w:color="auto" w:fill="1F3864" w:themeFill="accent1" w:themeFillShade="80"/>
                <w:lang w:val="en-US"/>
              </w:rPr>
              <w:t>3</w:t>
            </w:r>
          </w:p>
          <w:p w14:paraId="6B26AC0C"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5D05AA" w14:paraId="425D15D4" w14:textId="77777777" w:rsidTr="00504D61">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4722FB" w:rsidRDefault="005728A3" w:rsidP="005728A3">
            <w:pPr>
              <w:jc w:val="right"/>
              <w:rPr>
                <w:rFonts w:cstheme="minorHAnsi"/>
                <w:b/>
                <w:bCs/>
                <w:color w:val="002060"/>
                <w:sz w:val="28"/>
                <w:szCs w:val="28"/>
                <w:lang w:val="en-US"/>
              </w:rPr>
            </w:pPr>
            <w:r w:rsidRPr="004722FB">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504D61">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6FE1B363" w:rsidR="006D3771" w:rsidRPr="006D3771" w:rsidRDefault="00882471" w:rsidP="006D3771">
            <w:pPr>
              <w:jc w:val="center"/>
              <w:rPr>
                <w:sz w:val="32"/>
                <w:szCs w:val="32"/>
                <w:lang w:val="en-US"/>
              </w:rPr>
            </w:pPr>
            <w:r>
              <w:rPr>
                <w:sz w:val="32"/>
                <w:szCs w:val="32"/>
                <w:lang w:val="en-US"/>
              </w:rPr>
              <w:t>S</w:t>
            </w:r>
            <w:r w:rsidR="006569C4">
              <w:rPr>
                <w:sz w:val="32"/>
                <w:szCs w:val="32"/>
                <w:lang w:val="en-US"/>
              </w:rPr>
              <w:t>pain</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777958EA" w:rsidR="004A628B" w:rsidRDefault="004A628B" w:rsidP="004A628B">
      <w:pPr>
        <w:pStyle w:val="Default"/>
        <w:ind w:left="1080"/>
        <w:rPr>
          <w:color w:val="auto"/>
          <w:sz w:val="22"/>
          <w:szCs w:val="22"/>
          <w:lang w:val="en-US"/>
        </w:rPr>
      </w:pPr>
    </w:p>
    <w:p w14:paraId="55BF7425" w14:textId="77777777" w:rsidR="00685089" w:rsidRPr="00685089" w:rsidRDefault="00BC1E68" w:rsidP="00685089">
      <w:pPr>
        <w:rPr>
          <w:rStyle w:val="Hyperlink"/>
          <w:lang w:val="en-US"/>
        </w:rPr>
      </w:pPr>
      <w:hyperlink r:id="rId9" w:history="1">
        <w:r w:rsidR="00685089" w:rsidRPr="00685089">
          <w:rPr>
            <w:rStyle w:val="Hyperlink"/>
            <w:lang w:val="en-US"/>
          </w:rPr>
          <w:t>CEPEJ Evaluation Report 2022 - Country Profile Spain</w:t>
        </w:r>
      </w:hyperlink>
    </w:p>
    <w:p w14:paraId="2CD7A29C" w14:textId="77777777" w:rsidR="00685089" w:rsidRPr="00685089" w:rsidRDefault="00685089" w:rsidP="00685089">
      <w:pPr>
        <w:rPr>
          <w:lang w:val="en-GB"/>
        </w:rPr>
      </w:pPr>
    </w:p>
    <w:p w14:paraId="19194D74" w14:textId="0D6E42A0" w:rsidR="00685089" w:rsidRPr="00685089" w:rsidRDefault="00BC1E68" w:rsidP="00685089">
      <w:pPr>
        <w:pStyle w:val="Default"/>
        <w:jc w:val="both"/>
        <w:rPr>
          <w:color w:val="auto"/>
          <w:sz w:val="20"/>
          <w:szCs w:val="20"/>
          <w:lang w:val="en-US"/>
        </w:rPr>
      </w:pPr>
      <w:hyperlink r:id="rId10" w:history="1">
        <w:r w:rsidR="00685089" w:rsidRPr="00685089">
          <w:rPr>
            <w:rStyle w:val="Hyperlink"/>
            <w:sz w:val="20"/>
            <w:szCs w:val="20"/>
            <w:lang w:val="en-GB"/>
          </w:rPr>
          <w:t>CEPEJ/Scoreboard - Country profile Spain</w:t>
        </w:r>
      </w:hyperlink>
      <w:r w:rsidR="00685089" w:rsidRPr="00685089">
        <w:rPr>
          <w:color w:val="auto"/>
          <w:sz w:val="20"/>
          <w:szCs w:val="20"/>
          <w:lang w:val="en-US"/>
        </w:rPr>
        <w:t xml:space="preserve"> </w:t>
      </w:r>
    </w:p>
    <w:p w14:paraId="7ABD0E8A" w14:textId="77777777" w:rsidR="00685089" w:rsidRPr="00685089" w:rsidRDefault="00685089" w:rsidP="00685089">
      <w:pPr>
        <w:pStyle w:val="Default"/>
        <w:jc w:val="both"/>
        <w:rPr>
          <w:color w:val="auto"/>
          <w:sz w:val="20"/>
          <w:szCs w:val="20"/>
          <w:lang w:val="en-US"/>
        </w:rPr>
      </w:pPr>
    </w:p>
    <w:p w14:paraId="05550385" w14:textId="59FE9CE2" w:rsidR="00085193" w:rsidRPr="00685089" w:rsidRDefault="00BC1E68" w:rsidP="00685089">
      <w:pPr>
        <w:pStyle w:val="Default"/>
        <w:rPr>
          <w:color w:val="auto"/>
          <w:sz w:val="20"/>
          <w:szCs w:val="20"/>
          <w:lang w:val="en-US"/>
        </w:rPr>
      </w:pPr>
      <w:hyperlink r:id="rId11" w:history="1">
        <w:r w:rsidR="00685089" w:rsidRPr="00685089">
          <w:rPr>
            <w:rStyle w:val="Hyperlink"/>
            <w:rFonts w:eastAsia="Times New Roman"/>
            <w:sz w:val="20"/>
            <w:szCs w:val="20"/>
            <w:lang w:val="en-GB"/>
          </w:rPr>
          <w:t>CEPEJ General Country profile - Spain</w:t>
        </w:r>
      </w:hyperlink>
    </w:p>
    <w:p w14:paraId="1864BED6" w14:textId="2EB7F256" w:rsidR="003A6A3D" w:rsidRPr="00BF69B2" w:rsidRDefault="003A6A3D" w:rsidP="00E73169">
      <w:pPr>
        <w:rPr>
          <w:lang w:val="en-US"/>
        </w:rPr>
      </w:pPr>
    </w:p>
    <w:p w14:paraId="055D30FD" w14:textId="425CC94F" w:rsidR="003A6A3D" w:rsidRPr="00493811" w:rsidRDefault="00BC1E68" w:rsidP="003A6A3D">
      <w:pPr>
        <w:pStyle w:val="NoSpacing"/>
        <w:rPr>
          <w:rFonts w:ascii="Calibri" w:hAnsi="Calibri" w:cs="Calibri"/>
          <w:sz w:val="22"/>
          <w:szCs w:val="22"/>
          <w:lang w:val="en-GB"/>
        </w:rPr>
      </w:pPr>
      <w:hyperlink r:id="rId12" w:history="1">
        <w:r w:rsidR="00493811">
          <w:rPr>
            <w:rStyle w:val="Hyperlink"/>
            <w:rFonts w:ascii="Calibri" w:hAnsi="Calibri" w:cs="Calibri"/>
            <w:shd w:val="clear" w:color="auto" w:fill="FFFFFF"/>
            <w:lang w:val="en-GB"/>
          </w:rPr>
          <w:t>GRECO A</w:t>
        </w:r>
        <w:r w:rsidR="003A6A3D" w:rsidRPr="00BF69B2">
          <w:rPr>
            <w:rStyle w:val="Hyperlink"/>
            <w:rFonts w:ascii="Calibri" w:hAnsi="Calibri" w:cs="Calibri"/>
            <w:shd w:val="clear" w:color="auto" w:fill="FFFFFF"/>
            <w:lang w:val="en-GB"/>
          </w:rPr>
          <w:t>ddendum to the 2nd Compliance Report</w:t>
        </w:r>
      </w:hyperlink>
      <w:r w:rsidR="00493811">
        <w:rPr>
          <w:rStyle w:val="Hyperlink"/>
          <w:rFonts w:ascii="Calibri" w:hAnsi="Calibri" w:cs="Calibri"/>
          <w:u w:val="none"/>
          <w:shd w:val="clear" w:color="auto" w:fill="FFFFFF"/>
          <w:lang w:val="en-GB"/>
        </w:rPr>
        <w:t xml:space="preserve"> </w:t>
      </w:r>
      <w:r w:rsidR="00493811">
        <w:rPr>
          <w:rStyle w:val="Hyperlink"/>
          <w:rFonts w:ascii="Calibri" w:hAnsi="Calibri" w:cs="Calibri"/>
          <w:color w:val="auto"/>
          <w:u w:val="none"/>
          <w:shd w:val="clear" w:color="auto" w:fill="FFFFFF"/>
          <w:lang w:val="en-GB"/>
        </w:rPr>
        <w:t>(</w:t>
      </w:r>
      <w:r w:rsidR="00493811" w:rsidRPr="00BF69B2">
        <w:rPr>
          <w:lang w:val="en-US"/>
        </w:rPr>
        <w:t>5 December 2022</w:t>
      </w:r>
      <w:r w:rsidR="00493811">
        <w:rPr>
          <w:lang w:val="en-US"/>
        </w:rPr>
        <w:t>)</w:t>
      </w:r>
    </w:p>
    <w:p w14:paraId="1168A6B4" w14:textId="4C08D278" w:rsidR="003A6A3D" w:rsidRPr="003A6A3D" w:rsidRDefault="00755A77" w:rsidP="00E73169">
      <w:pPr>
        <w:rPr>
          <w:lang w:val="en-GB"/>
        </w:rPr>
      </w:pPr>
      <w:r w:rsidRPr="00BF69B2">
        <w:rPr>
          <w:lang w:val="en-GB"/>
        </w:rPr>
        <w:t>4</w:t>
      </w:r>
      <w:r w:rsidRPr="00BF69B2">
        <w:rPr>
          <w:vertAlign w:val="superscript"/>
          <w:lang w:val="en-GB"/>
        </w:rPr>
        <w:t>th</w:t>
      </w:r>
      <w:r w:rsidRPr="00BF69B2">
        <w:rPr>
          <w:lang w:val="en-GB"/>
        </w:rPr>
        <w:t xml:space="preserve"> round: corruption prevention in respect of MPs, </w:t>
      </w:r>
      <w:proofErr w:type="gramStart"/>
      <w:r w:rsidRPr="00BF69B2">
        <w:rPr>
          <w:lang w:val="en-GB"/>
        </w:rPr>
        <w:t>judges</w:t>
      </w:r>
      <w:proofErr w:type="gramEnd"/>
      <w:r w:rsidRPr="00BF69B2">
        <w:rPr>
          <w:lang w:val="en-GB"/>
        </w:rPr>
        <w:t xml:space="preserve"> and prosecutors</w:t>
      </w:r>
    </w:p>
    <w:p w14:paraId="78A565D8" w14:textId="399F4972" w:rsidR="00100926" w:rsidRPr="00BF69B2" w:rsidRDefault="00100926" w:rsidP="00493811">
      <w:pPr>
        <w:pStyle w:val="Heading3"/>
        <w:rPr>
          <w:color w:val="auto"/>
          <w:sz w:val="22"/>
          <w:szCs w:val="22"/>
          <w:lang w:val="en-GB"/>
        </w:rPr>
      </w:pPr>
    </w:p>
    <w:p w14:paraId="13004BFD" w14:textId="77777777" w:rsidR="009934B2" w:rsidRPr="00BF69B2" w:rsidRDefault="009934B2" w:rsidP="009934B2">
      <w:pPr>
        <w:rPr>
          <w:lang w:val="en-US"/>
        </w:rPr>
      </w:pPr>
      <w:r w:rsidRPr="00BF69B2">
        <w:rPr>
          <w:lang w:val="en-GB"/>
        </w:rPr>
        <w:t>Office of the Commissioner for Human Rights</w:t>
      </w:r>
    </w:p>
    <w:p w14:paraId="6B4D84D6" w14:textId="551C52B3" w:rsidR="00A52FBE" w:rsidRDefault="00BC1E68" w:rsidP="00493811">
      <w:pPr>
        <w:jc w:val="both"/>
        <w:outlineLvl w:val="0"/>
        <w:rPr>
          <w:rFonts w:cs="Arial"/>
          <w:shd w:val="clear" w:color="auto" w:fill="FFFFFF"/>
          <w:lang w:val="en-GB"/>
        </w:rPr>
      </w:pPr>
      <w:hyperlink r:id="rId13" w:history="1">
        <w:r w:rsidR="00A52FBE" w:rsidRPr="00BF69B2">
          <w:rPr>
            <w:rStyle w:val="Hyperlink"/>
            <w:rFonts w:cs="Arial"/>
            <w:color w:val="129AF0"/>
            <w:shd w:val="clear" w:color="auto" w:fill="FFFFFF"/>
            <w:lang w:val="en-GB"/>
          </w:rPr>
          <w:t>Letter</w:t>
        </w:r>
      </w:hyperlink>
      <w:r w:rsidR="00A52FBE" w:rsidRPr="00BF69B2">
        <w:rPr>
          <w:rFonts w:cs="Arial"/>
          <w:lang w:val="en-GB"/>
        </w:rPr>
        <w:t xml:space="preserve"> </w:t>
      </w:r>
      <w:r w:rsidR="00A52FBE" w:rsidRPr="00BF69B2">
        <w:rPr>
          <w:rFonts w:cs="Arial"/>
          <w:color w:val="333333"/>
          <w:shd w:val="clear" w:color="auto" w:fill="FFFFFF"/>
          <w:lang w:val="en-GB"/>
        </w:rPr>
        <w:t xml:space="preserve">from </w:t>
      </w:r>
      <w:r w:rsidR="00A52FBE" w:rsidRPr="00BF69B2">
        <w:rPr>
          <w:rFonts w:cs="Arial"/>
          <w:bCs/>
          <w:lang w:val="en-GB"/>
        </w:rPr>
        <w:t>the Council of Europe Commissioner for Human Rights</w:t>
      </w:r>
      <w:r w:rsidR="00A52FBE" w:rsidRPr="00BF69B2">
        <w:rPr>
          <w:rFonts w:cs="Arial"/>
          <w:lang w:val="en-GB"/>
        </w:rPr>
        <w:t xml:space="preserve"> </w:t>
      </w:r>
      <w:r w:rsidR="00A52FBE" w:rsidRPr="00BF69B2">
        <w:rPr>
          <w:rFonts w:cs="Arial"/>
          <w:color w:val="333333"/>
          <w:shd w:val="clear" w:color="auto" w:fill="FFFFFF"/>
          <w:lang w:val="en-GB"/>
        </w:rPr>
        <w:t xml:space="preserve">to the President of the Interior Committee of the Congress of Deputies of Spain, José Luis </w:t>
      </w:r>
      <w:proofErr w:type="spellStart"/>
      <w:r w:rsidR="00A52FBE" w:rsidRPr="00BF69B2">
        <w:rPr>
          <w:rFonts w:cs="Arial"/>
          <w:color w:val="333333"/>
          <w:shd w:val="clear" w:color="auto" w:fill="FFFFFF"/>
          <w:lang w:val="en-GB"/>
        </w:rPr>
        <w:t>Ábalos</w:t>
      </w:r>
      <w:proofErr w:type="spellEnd"/>
      <w:r w:rsidR="00A52FBE" w:rsidRPr="00BF69B2">
        <w:rPr>
          <w:rFonts w:cs="Arial"/>
          <w:color w:val="333333"/>
          <w:shd w:val="clear" w:color="auto" w:fill="FFFFFF"/>
          <w:lang w:val="en-GB"/>
        </w:rPr>
        <w:t xml:space="preserve"> </w:t>
      </w:r>
      <w:proofErr w:type="spellStart"/>
      <w:r w:rsidR="00A52FBE" w:rsidRPr="00BF69B2">
        <w:rPr>
          <w:rFonts w:cs="Arial"/>
          <w:color w:val="333333"/>
          <w:shd w:val="clear" w:color="auto" w:fill="FFFFFF"/>
          <w:lang w:val="en-GB"/>
        </w:rPr>
        <w:t>Meco</w:t>
      </w:r>
      <w:proofErr w:type="spellEnd"/>
      <w:r w:rsidR="00A52FBE" w:rsidRPr="00BF69B2">
        <w:rPr>
          <w:rFonts w:cs="Arial"/>
          <w:color w:val="333333"/>
          <w:shd w:val="clear" w:color="auto" w:fill="FFFFFF"/>
          <w:lang w:val="en-GB"/>
        </w:rPr>
        <w:t xml:space="preserve">, the President of the Congress of Deputies, Ana </w:t>
      </w:r>
      <w:proofErr w:type="spellStart"/>
      <w:r w:rsidR="00A52FBE" w:rsidRPr="00BF69B2">
        <w:rPr>
          <w:rFonts w:cs="Arial"/>
          <w:color w:val="333333"/>
          <w:shd w:val="clear" w:color="auto" w:fill="FFFFFF"/>
          <w:lang w:val="en-GB"/>
        </w:rPr>
        <w:t>Meritxell</w:t>
      </w:r>
      <w:proofErr w:type="spellEnd"/>
      <w:r w:rsidR="00A52FBE" w:rsidRPr="00BF69B2">
        <w:rPr>
          <w:rFonts w:cs="Arial"/>
          <w:color w:val="333333"/>
          <w:shd w:val="clear" w:color="auto" w:fill="FFFFFF"/>
          <w:lang w:val="en-GB"/>
        </w:rPr>
        <w:t xml:space="preserve"> </w:t>
      </w:r>
      <w:proofErr w:type="spellStart"/>
      <w:r w:rsidR="00A52FBE" w:rsidRPr="00BF69B2">
        <w:rPr>
          <w:rFonts w:cs="Arial"/>
          <w:color w:val="333333"/>
          <w:shd w:val="clear" w:color="auto" w:fill="FFFFFF"/>
          <w:lang w:val="en-GB"/>
        </w:rPr>
        <w:t>Batet</w:t>
      </w:r>
      <w:proofErr w:type="spellEnd"/>
      <w:r w:rsidR="00A52FBE" w:rsidRPr="00BF69B2">
        <w:rPr>
          <w:rFonts w:cs="Arial"/>
          <w:color w:val="333333"/>
          <w:shd w:val="clear" w:color="auto" w:fill="FFFFFF"/>
          <w:lang w:val="en-GB"/>
        </w:rPr>
        <w:t xml:space="preserve"> </w:t>
      </w:r>
      <w:proofErr w:type="spellStart"/>
      <w:r w:rsidR="00A52FBE" w:rsidRPr="00BF69B2">
        <w:rPr>
          <w:rFonts w:cs="Arial"/>
          <w:shd w:val="clear" w:color="auto" w:fill="FFFFFF"/>
          <w:lang w:val="en-GB"/>
        </w:rPr>
        <w:t>Lamaña</w:t>
      </w:r>
      <w:proofErr w:type="spellEnd"/>
      <w:r w:rsidR="00A52FBE" w:rsidRPr="00BF69B2">
        <w:rPr>
          <w:rFonts w:cs="Arial"/>
          <w:shd w:val="clear" w:color="auto" w:fill="FFFFFF"/>
          <w:lang w:val="en-GB"/>
        </w:rPr>
        <w:t xml:space="preserve">, and the President of the Senate, Ander Gil García stressing the need to ensure that the review of the 2015 Law on Citizens’ Safety is used to bring it fully in line with European and international human rights standards, in particular as concerns the provisions </w:t>
      </w:r>
      <w:r w:rsidR="00A52FBE" w:rsidRPr="00493811">
        <w:rPr>
          <w:rFonts w:cs="Arial"/>
          <w:shd w:val="clear" w:color="auto" w:fill="FFFFFF"/>
          <w:lang w:val="en-GB"/>
        </w:rPr>
        <w:t>impinging on the rights to freedom of expression and to peaceful assembly</w:t>
      </w:r>
      <w:r w:rsidR="00A52FBE" w:rsidRPr="00BF69B2">
        <w:rPr>
          <w:rFonts w:cs="Arial"/>
          <w:shd w:val="clear" w:color="auto" w:fill="FFFFFF"/>
          <w:lang w:val="en-GB"/>
        </w:rPr>
        <w:t>, the right to seek asylum and the prohibition of refoulement (published on 11 February 2022).</w:t>
      </w:r>
    </w:p>
    <w:p w14:paraId="3A9D78F7" w14:textId="3D70C39D" w:rsidR="00E24AF1" w:rsidRDefault="00E24AF1" w:rsidP="00493811">
      <w:pPr>
        <w:jc w:val="both"/>
        <w:outlineLvl w:val="0"/>
        <w:rPr>
          <w:rFonts w:cs="Arial"/>
          <w:shd w:val="clear" w:color="auto" w:fill="FFFFFF"/>
          <w:lang w:val="en-GB"/>
        </w:rPr>
      </w:pPr>
    </w:p>
    <w:p w14:paraId="2A0D3A46" w14:textId="43518404" w:rsidR="00E24AF1" w:rsidRDefault="00E24AF1" w:rsidP="00493811">
      <w:pPr>
        <w:jc w:val="both"/>
        <w:outlineLvl w:val="0"/>
        <w:rPr>
          <w:rFonts w:cs="Arial"/>
          <w:shd w:val="clear" w:color="auto" w:fill="FFFFFF"/>
          <w:lang w:val="en-GB"/>
        </w:rPr>
      </w:pPr>
      <w:r w:rsidRPr="00E24AF1">
        <w:rPr>
          <w:rFonts w:cs="Arial"/>
          <w:shd w:val="clear" w:color="auto" w:fill="FFFFFF"/>
          <w:lang w:val="en-GB"/>
        </w:rPr>
        <w:t xml:space="preserve">Execution of judgments in </w:t>
      </w:r>
      <w:hyperlink r:id="rId14" w:history="1">
        <w:r w:rsidRPr="00E24AF1">
          <w:rPr>
            <w:rStyle w:val="Hyperlink"/>
            <w:rFonts w:cs="Arial"/>
            <w:shd w:val="clear" w:color="auto" w:fill="FFFFFF"/>
            <w:lang w:val="en-GB"/>
          </w:rPr>
          <w:t>Spain</w:t>
        </w:r>
      </w:hyperlink>
      <w:r>
        <w:rPr>
          <w:rFonts w:cs="Arial"/>
          <w:shd w:val="clear" w:color="auto" w:fill="FFFFFF"/>
          <w:lang w:val="en-GB"/>
        </w:rPr>
        <w:t xml:space="preserve"> </w:t>
      </w:r>
    </w:p>
    <w:tbl>
      <w:tblPr>
        <w:tblW w:w="9491" w:type="dxa"/>
        <w:shd w:val="clear" w:color="auto" w:fill="FFFFFF"/>
        <w:tblCellMar>
          <w:left w:w="0" w:type="dxa"/>
          <w:right w:w="0" w:type="dxa"/>
        </w:tblCellMar>
        <w:tblLook w:val="04A0" w:firstRow="1" w:lastRow="0" w:firstColumn="1" w:lastColumn="0" w:noHBand="0" w:noVBand="1"/>
      </w:tblPr>
      <w:tblGrid>
        <w:gridCol w:w="626"/>
        <w:gridCol w:w="8446"/>
        <w:gridCol w:w="419"/>
      </w:tblGrid>
      <w:tr w:rsidR="005464C8" w:rsidRPr="005D05AA" w14:paraId="78438AC3" w14:textId="77777777" w:rsidTr="00BC1E68">
        <w:trPr>
          <w:gridAfter w:val="1"/>
          <w:wAfter w:w="419" w:type="dxa"/>
        </w:trPr>
        <w:tc>
          <w:tcPr>
            <w:tcW w:w="9072" w:type="dxa"/>
            <w:gridSpan w:val="2"/>
            <w:shd w:val="clear" w:color="auto" w:fill="FFFFFF"/>
            <w:tcMar>
              <w:top w:w="0" w:type="dxa"/>
              <w:left w:w="108" w:type="dxa"/>
              <w:bottom w:w="0" w:type="dxa"/>
              <w:right w:w="108" w:type="dxa"/>
            </w:tcMar>
            <w:hideMark/>
          </w:tcPr>
          <w:p w14:paraId="66894783" w14:textId="77777777" w:rsidR="005464C8" w:rsidRDefault="005464C8">
            <w:pPr>
              <w:spacing w:before="240"/>
              <w:rPr>
                <w:rFonts w:cstheme="minorHAnsi"/>
                <w:color w:val="333333"/>
              </w:rPr>
            </w:pPr>
            <w:proofErr w:type="spellStart"/>
            <w:r w:rsidRPr="005D05AA">
              <w:rPr>
                <w:rFonts w:cstheme="minorHAnsi"/>
                <w:color w:val="333333"/>
              </w:rPr>
              <w:t>Saquetti</w:t>
            </w:r>
            <w:proofErr w:type="spellEnd"/>
            <w:r w:rsidRPr="005D05AA">
              <w:rPr>
                <w:rFonts w:cstheme="minorHAnsi"/>
                <w:color w:val="333333"/>
              </w:rPr>
              <w:t xml:space="preserve"> Iglesias v. Spain (Application No. 50514/13)</w:t>
            </w:r>
          </w:p>
          <w:p w14:paraId="047FFC13" w14:textId="77777777" w:rsidR="005D05AA" w:rsidRPr="005D05AA" w:rsidRDefault="005D05AA" w:rsidP="005D05AA">
            <w:pPr>
              <w:pStyle w:val="Default"/>
              <w:jc w:val="both"/>
              <w:rPr>
                <w:sz w:val="20"/>
                <w:szCs w:val="20"/>
                <w:lang w:val="en-GB"/>
              </w:rPr>
            </w:pPr>
            <w:r w:rsidRPr="005D05AA">
              <w:rPr>
                <w:b/>
                <w:bCs/>
                <w:sz w:val="20"/>
                <w:szCs w:val="20"/>
                <w:lang w:val="en-GB"/>
              </w:rPr>
              <w:t>Absence of a double degree of jurisdiction for sanctions</w:t>
            </w:r>
            <w:r w:rsidRPr="005D05AA">
              <w:rPr>
                <w:sz w:val="20"/>
                <w:szCs w:val="20"/>
                <w:lang w:val="en-GB"/>
              </w:rPr>
              <w:t xml:space="preserve"> imposed for offences considered criminal in nature under the Engel criteria </w:t>
            </w:r>
          </w:p>
          <w:p w14:paraId="5448647A" w14:textId="6225FDDF" w:rsidR="005D05AA" w:rsidRPr="005D05AA" w:rsidRDefault="005D05AA">
            <w:pPr>
              <w:spacing w:before="240"/>
              <w:rPr>
                <w:rFonts w:cstheme="minorHAnsi"/>
                <w:color w:val="333333"/>
                <w:lang w:val="en-GB"/>
              </w:rPr>
            </w:pPr>
          </w:p>
        </w:tc>
      </w:tr>
      <w:tr w:rsidR="005464C8" w14:paraId="32A00989" w14:textId="77777777" w:rsidTr="00BC1E68">
        <w:tc>
          <w:tcPr>
            <w:tcW w:w="626" w:type="dxa"/>
            <w:shd w:val="clear" w:color="auto" w:fill="FFFFFF"/>
            <w:tcMar>
              <w:top w:w="0" w:type="dxa"/>
              <w:left w:w="108" w:type="dxa"/>
              <w:bottom w:w="0" w:type="dxa"/>
              <w:right w:w="108" w:type="dxa"/>
            </w:tcMar>
            <w:hideMark/>
          </w:tcPr>
          <w:p w14:paraId="522F5100" w14:textId="77777777" w:rsidR="005464C8" w:rsidRPr="005D05AA" w:rsidRDefault="005464C8">
            <w:pPr>
              <w:rPr>
                <w:rFonts w:cstheme="minorHAnsi"/>
                <w:color w:val="333333"/>
                <w:lang w:val="en-GB"/>
              </w:rPr>
            </w:pPr>
          </w:p>
        </w:tc>
        <w:tc>
          <w:tcPr>
            <w:tcW w:w="8865" w:type="dxa"/>
            <w:gridSpan w:val="2"/>
            <w:shd w:val="clear" w:color="auto" w:fill="FFFFFF"/>
            <w:tcMar>
              <w:top w:w="0" w:type="dxa"/>
              <w:left w:w="108" w:type="dxa"/>
              <w:bottom w:w="0" w:type="dxa"/>
              <w:right w:w="108" w:type="dxa"/>
            </w:tcMar>
            <w:hideMark/>
          </w:tcPr>
          <w:p w14:paraId="3E969A08" w14:textId="77777777" w:rsidR="005464C8" w:rsidRPr="005D05AA" w:rsidRDefault="00BC1E68">
            <w:pPr>
              <w:pStyle w:val="coesource"/>
              <w:spacing w:before="96" w:beforeAutospacing="0" w:after="0" w:afterAutospacing="0"/>
              <w:rPr>
                <w:rFonts w:asciiTheme="minorHAnsi" w:hAnsiTheme="minorHAnsi" w:cstheme="minorHAnsi"/>
                <w:color w:val="000000"/>
                <w:sz w:val="20"/>
                <w:szCs w:val="20"/>
              </w:rPr>
            </w:pPr>
            <w:hyperlink r:id="rId15" w:history="1">
              <w:r w:rsidR="005464C8" w:rsidRPr="005D05AA">
                <w:rPr>
                  <w:rStyle w:val="Hyperlink"/>
                  <w:rFonts w:asciiTheme="minorHAnsi" w:eastAsiaTheme="majorEastAsia" w:hAnsiTheme="minorHAnsi" w:cstheme="minorHAnsi"/>
                  <w:color w:val="129AF0"/>
                  <w:sz w:val="20"/>
                  <w:szCs w:val="20"/>
                </w:rPr>
                <w:t>CM/Del/</w:t>
              </w:r>
              <w:proofErr w:type="spellStart"/>
              <w:proofErr w:type="gramStart"/>
              <w:r w:rsidR="005464C8" w:rsidRPr="005D05AA">
                <w:rPr>
                  <w:rStyle w:val="Hyperlink"/>
                  <w:rFonts w:asciiTheme="minorHAnsi" w:eastAsiaTheme="majorEastAsia" w:hAnsiTheme="minorHAnsi" w:cstheme="minorHAnsi"/>
                  <w:color w:val="129AF0"/>
                  <w:sz w:val="20"/>
                  <w:szCs w:val="20"/>
                </w:rPr>
                <w:t>Dec</w:t>
              </w:r>
              <w:proofErr w:type="spellEnd"/>
              <w:r w:rsidR="005464C8" w:rsidRPr="005D05AA">
                <w:rPr>
                  <w:rStyle w:val="Hyperlink"/>
                  <w:rFonts w:asciiTheme="minorHAnsi" w:eastAsiaTheme="majorEastAsia" w:hAnsiTheme="minorHAnsi" w:cstheme="minorHAnsi"/>
                  <w:color w:val="129AF0"/>
                  <w:sz w:val="20"/>
                  <w:szCs w:val="20"/>
                </w:rPr>
                <w:t>(</w:t>
              </w:r>
              <w:proofErr w:type="gramEnd"/>
              <w:r w:rsidR="005464C8" w:rsidRPr="005D05AA">
                <w:rPr>
                  <w:rStyle w:val="Hyperlink"/>
                  <w:rFonts w:asciiTheme="minorHAnsi" w:eastAsiaTheme="majorEastAsia" w:hAnsiTheme="minorHAnsi" w:cstheme="minorHAnsi"/>
                  <w:color w:val="129AF0"/>
                  <w:sz w:val="20"/>
                  <w:szCs w:val="20"/>
                </w:rPr>
                <w:t>2022)1436/H46-33</w:t>
              </w:r>
            </w:hyperlink>
          </w:p>
        </w:tc>
      </w:tr>
    </w:tbl>
    <w:p w14:paraId="644B3224" w14:textId="77777777" w:rsidR="00493811" w:rsidRPr="00E24AF1" w:rsidRDefault="004A628B" w:rsidP="004A628B">
      <w:pPr>
        <w:pStyle w:val="Heading1"/>
      </w:pPr>
      <w:bookmarkStart w:id="1" w:name="_Toc36635832"/>
      <w:r w:rsidRPr="00E24AF1">
        <w:t xml:space="preserve">II Anti-corruption </w:t>
      </w:r>
      <w:proofErr w:type="spellStart"/>
      <w:r w:rsidRPr="00E24AF1">
        <w:t>framework</w:t>
      </w:r>
      <w:bookmarkEnd w:id="1"/>
      <w:proofErr w:type="spellEnd"/>
    </w:p>
    <w:p w14:paraId="6262E6E6" w14:textId="77777777" w:rsidR="00493811" w:rsidRDefault="00493811" w:rsidP="00493811">
      <w:pPr>
        <w:pStyle w:val="NoSpacing"/>
      </w:pPr>
    </w:p>
    <w:p w14:paraId="3E2AC07F" w14:textId="51A5D82C" w:rsidR="00493811" w:rsidRPr="00493811" w:rsidRDefault="00BC1E68" w:rsidP="00493811">
      <w:pPr>
        <w:pStyle w:val="NoSpacing"/>
        <w:rPr>
          <w:rFonts w:ascii="Calibri" w:hAnsi="Calibri" w:cs="Calibri"/>
          <w:sz w:val="22"/>
          <w:szCs w:val="22"/>
          <w:lang w:val="en-GB"/>
        </w:rPr>
      </w:pPr>
      <w:hyperlink r:id="rId16" w:history="1">
        <w:r w:rsidR="00493811">
          <w:rPr>
            <w:rStyle w:val="Hyperlink"/>
            <w:rFonts w:ascii="Calibri" w:hAnsi="Calibri" w:cs="Calibri"/>
            <w:shd w:val="clear" w:color="auto" w:fill="FFFFFF"/>
            <w:lang w:val="en-GB"/>
          </w:rPr>
          <w:t>GRECO A</w:t>
        </w:r>
        <w:r w:rsidR="00493811" w:rsidRPr="00BF69B2">
          <w:rPr>
            <w:rStyle w:val="Hyperlink"/>
            <w:rFonts w:ascii="Calibri" w:hAnsi="Calibri" w:cs="Calibri"/>
            <w:shd w:val="clear" w:color="auto" w:fill="FFFFFF"/>
            <w:lang w:val="en-GB"/>
          </w:rPr>
          <w:t>ddendum to the 2nd Compliance Report</w:t>
        </w:r>
      </w:hyperlink>
      <w:r w:rsidR="00493811">
        <w:rPr>
          <w:rStyle w:val="Hyperlink"/>
          <w:rFonts w:ascii="Calibri" w:hAnsi="Calibri" w:cs="Calibri"/>
          <w:u w:val="none"/>
          <w:shd w:val="clear" w:color="auto" w:fill="FFFFFF"/>
          <w:lang w:val="en-GB"/>
        </w:rPr>
        <w:t xml:space="preserve"> </w:t>
      </w:r>
      <w:r w:rsidR="00493811">
        <w:rPr>
          <w:rStyle w:val="Hyperlink"/>
          <w:rFonts w:ascii="Calibri" w:hAnsi="Calibri" w:cs="Calibri"/>
          <w:color w:val="auto"/>
          <w:u w:val="none"/>
          <w:shd w:val="clear" w:color="auto" w:fill="FFFFFF"/>
          <w:lang w:val="en-GB"/>
        </w:rPr>
        <w:t>(</w:t>
      </w:r>
      <w:r w:rsidR="00493811" w:rsidRPr="00BF69B2">
        <w:rPr>
          <w:lang w:val="en-US"/>
        </w:rPr>
        <w:t>5 December 2022</w:t>
      </w:r>
      <w:r w:rsidR="00493811">
        <w:rPr>
          <w:lang w:val="en-US"/>
        </w:rPr>
        <w:t>)</w:t>
      </w:r>
    </w:p>
    <w:p w14:paraId="5C79AE80" w14:textId="25116CD1" w:rsidR="004A628B" w:rsidRPr="00493811" w:rsidRDefault="00493811" w:rsidP="00493811">
      <w:pPr>
        <w:rPr>
          <w:lang w:val="en-GB"/>
        </w:rPr>
      </w:pPr>
      <w:r w:rsidRPr="00BF69B2">
        <w:rPr>
          <w:lang w:val="en-GB"/>
        </w:rPr>
        <w:t>4</w:t>
      </w:r>
      <w:r w:rsidRPr="00BF69B2">
        <w:rPr>
          <w:vertAlign w:val="superscript"/>
          <w:lang w:val="en-GB"/>
        </w:rPr>
        <w:t>th</w:t>
      </w:r>
      <w:r w:rsidRPr="00BF69B2">
        <w:rPr>
          <w:lang w:val="en-GB"/>
        </w:rPr>
        <w:t xml:space="preserve"> round: corruption prevention in respect of MPs, </w:t>
      </w:r>
      <w:proofErr w:type="gramStart"/>
      <w:r w:rsidRPr="00BF69B2">
        <w:rPr>
          <w:lang w:val="en-GB"/>
        </w:rPr>
        <w:t>judges</w:t>
      </w:r>
      <w:proofErr w:type="gramEnd"/>
      <w:r w:rsidRPr="00BF69B2">
        <w:rPr>
          <w:lang w:val="en-GB"/>
        </w:rPr>
        <w:t xml:space="preserve"> and prosecutors</w:t>
      </w:r>
    </w:p>
    <w:p w14:paraId="3F060345" w14:textId="3B210B09" w:rsidR="004A628B" w:rsidRDefault="001D0AE0" w:rsidP="004A628B">
      <w:pPr>
        <w:pStyle w:val="Heading1"/>
        <w:rPr>
          <w:lang w:val="en-US"/>
        </w:rPr>
      </w:pPr>
      <w:bookmarkStart w:id="2" w:name="_Toc36635845"/>
      <w:r>
        <w:rPr>
          <w:lang w:val="en-US"/>
        </w:rPr>
        <w:lastRenderedPageBreak/>
        <w:t xml:space="preserve">III </w:t>
      </w:r>
      <w:r w:rsidR="004A628B" w:rsidRPr="00546B57">
        <w:rPr>
          <w:lang w:val="en-US"/>
        </w:rPr>
        <w:t>Media pluralism</w:t>
      </w:r>
      <w:bookmarkEnd w:id="2"/>
      <w:r w:rsidR="004A628B" w:rsidRPr="00546B57">
        <w:rPr>
          <w:lang w:val="en-US"/>
        </w:rPr>
        <w:t xml:space="preserve"> </w:t>
      </w:r>
    </w:p>
    <w:p w14:paraId="7DB1382D" w14:textId="12C5035F" w:rsidR="003E687E" w:rsidRDefault="003E687E" w:rsidP="003E687E">
      <w:pPr>
        <w:rPr>
          <w:lang w:val="en-US"/>
        </w:rPr>
      </w:pPr>
    </w:p>
    <w:p w14:paraId="2341A531" w14:textId="4C9DEC24" w:rsidR="00F53D03" w:rsidRPr="00493811" w:rsidRDefault="00493811" w:rsidP="00493811">
      <w:pPr>
        <w:autoSpaceDE w:val="0"/>
        <w:autoSpaceDN w:val="0"/>
        <w:adjustRightInd w:val="0"/>
        <w:jc w:val="both"/>
        <w:rPr>
          <w:rFonts w:eastAsiaTheme="minorHAnsi" w:cstheme="minorHAnsi"/>
          <w:lang w:val="en-GB"/>
        </w:rPr>
      </w:pPr>
      <w:r>
        <w:rPr>
          <w:rFonts w:eastAsiaTheme="minorHAnsi" w:cstheme="minorHAnsi"/>
          <w:lang w:val="en-GB"/>
        </w:rPr>
        <w:t xml:space="preserve">N/A </w:t>
      </w:r>
    </w:p>
    <w:p w14:paraId="3E1F9863" w14:textId="7847A629" w:rsidR="004A628B" w:rsidRDefault="004A628B" w:rsidP="004A628B">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3"/>
      <w:r w:rsidRPr="00546B57">
        <w:rPr>
          <w:lang w:val="en-US"/>
        </w:rPr>
        <w:t xml:space="preserve"> </w:t>
      </w:r>
    </w:p>
    <w:p w14:paraId="749D85A7" w14:textId="77777777" w:rsidR="00BC1E68" w:rsidRDefault="00BC1E68" w:rsidP="00E24AF1">
      <w:pPr>
        <w:autoSpaceDE w:val="0"/>
        <w:autoSpaceDN w:val="0"/>
        <w:adjustRightInd w:val="0"/>
        <w:jc w:val="both"/>
        <w:rPr>
          <w:rFonts w:eastAsiaTheme="minorHAnsi" w:cstheme="minorHAnsi"/>
          <w:lang w:val="en-GB"/>
        </w:rPr>
      </w:pPr>
    </w:p>
    <w:p w14:paraId="026961E1" w14:textId="5D7F383E" w:rsidR="004B3D99" w:rsidRPr="00E24AF1" w:rsidRDefault="00493811" w:rsidP="00E24AF1">
      <w:pPr>
        <w:autoSpaceDE w:val="0"/>
        <w:autoSpaceDN w:val="0"/>
        <w:adjustRightInd w:val="0"/>
        <w:jc w:val="both"/>
        <w:rPr>
          <w:rFonts w:eastAsiaTheme="minorHAnsi" w:cstheme="minorHAnsi"/>
          <w:lang w:val="en-GB"/>
        </w:rPr>
      </w:pPr>
      <w:r>
        <w:rPr>
          <w:rFonts w:eastAsiaTheme="minorHAnsi" w:cstheme="minorHAnsi"/>
          <w:lang w:val="en-GB"/>
        </w:rPr>
        <w:t xml:space="preserve">N/A </w:t>
      </w:r>
    </w:p>
    <w:sectPr w:rsidR="004B3D99" w:rsidRPr="00E24AF1" w:rsidSect="007B3B82">
      <w:footerReference w:type="default" r:id="rId17"/>
      <w:footerReference w:type="first" r:id="rId1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24500" w14:textId="77777777" w:rsidR="00692E4F" w:rsidRDefault="00692E4F" w:rsidP="00857FF1">
      <w:r>
        <w:separator/>
      </w:r>
    </w:p>
  </w:endnote>
  <w:endnote w:type="continuationSeparator" w:id="0">
    <w:p w14:paraId="127B2079" w14:textId="77777777" w:rsidR="00692E4F" w:rsidRDefault="00692E4F"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DA98B" w14:textId="77777777" w:rsidR="00692E4F" w:rsidRDefault="00692E4F" w:rsidP="00857FF1">
      <w:r>
        <w:separator/>
      </w:r>
    </w:p>
  </w:footnote>
  <w:footnote w:type="continuationSeparator" w:id="0">
    <w:p w14:paraId="51C4365A" w14:textId="77777777" w:rsidR="00692E4F" w:rsidRDefault="00692E4F"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4" w15:restartNumberingAfterBreak="0">
    <w:nsid w:val="18760974"/>
    <w:multiLevelType w:val="hybridMultilevel"/>
    <w:tmpl w:val="040CB0D4"/>
    <w:lvl w:ilvl="0" w:tplc="DA720A6A">
      <w:start w:val="1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3140727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7025635">
    <w:abstractNumId w:val="2"/>
  </w:num>
  <w:num w:numId="3" w16cid:durableId="30496820">
    <w:abstractNumId w:val="5"/>
  </w:num>
  <w:num w:numId="4" w16cid:durableId="1172527417">
    <w:abstractNumId w:val="3"/>
  </w:num>
  <w:num w:numId="5" w16cid:durableId="1347487687">
    <w:abstractNumId w:val="8"/>
  </w:num>
  <w:num w:numId="6" w16cid:durableId="187912746">
    <w:abstractNumId w:val="4"/>
  </w:num>
  <w:num w:numId="7" w16cid:durableId="1196847940">
    <w:abstractNumId w:val="6"/>
  </w:num>
  <w:num w:numId="8" w16cid:durableId="66727506">
    <w:abstractNumId w:val="6"/>
  </w:num>
  <w:num w:numId="9" w16cid:durableId="1500388373">
    <w:abstractNumId w:val="1"/>
  </w:num>
  <w:num w:numId="10" w16cid:durableId="13616611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01524"/>
    <w:rsid w:val="0000360F"/>
    <w:rsid w:val="00007FA3"/>
    <w:rsid w:val="0002205E"/>
    <w:rsid w:val="0004430E"/>
    <w:rsid w:val="000517CE"/>
    <w:rsid w:val="00052FDB"/>
    <w:rsid w:val="00057AA5"/>
    <w:rsid w:val="00064AF2"/>
    <w:rsid w:val="00065029"/>
    <w:rsid w:val="00084C0B"/>
    <w:rsid w:val="00085193"/>
    <w:rsid w:val="000E51C1"/>
    <w:rsid w:val="00100926"/>
    <w:rsid w:val="0011349E"/>
    <w:rsid w:val="001227A4"/>
    <w:rsid w:val="00123DE8"/>
    <w:rsid w:val="001257E8"/>
    <w:rsid w:val="0014141F"/>
    <w:rsid w:val="00152FC1"/>
    <w:rsid w:val="00164A68"/>
    <w:rsid w:val="00167680"/>
    <w:rsid w:val="00172847"/>
    <w:rsid w:val="0018218E"/>
    <w:rsid w:val="00194CC7"/>
    <w:rsid w:val="001A0B36"/>
    <w:rsid w:val="001A217C"/>
    <w:rsid w:val="001C77D8"/>
    <w:rsid w:val="001D0AE0"/>
    <w:rsid w:val="001D55BE"/>
    <w:rsid w:val="001E6D01"/>
    <w:rsid w:val="001F37D6"/>
    <w:rsid w:val="002027E7"/>
    <w:rsid w:val="0021059A"/>
    <w:rsid w:val="002261E3"/>
    <w:rsid w:val="00252F46"/>
    <w:rsid w:val="00254902"/>
    <w:rsid w:val="00267E73"/>
    <w:rsid w:val="00282225"/>
    <w:rsid w:val="002B2FF2"/>
    <w:rsid w:val="002B5BAD"/>
    <w:rsid w:val="002C68B0"/>
    <w:rsid w:val="002D21A4"/>
    <w:rsid w:val="002F0042"/>
    <w:rsid w:val="00310C86"/>
    <w:rsid w:val="00312620"/>
    <w:rsid w:val="003169FE"/>
    <w:rsid w:val="00351BFE"/>
    <w:rsid w:val="00352E7D"/>
    <w:rsid w:val="003572C2"/>
    <w:rsid w:val="00362880"/>
    <w:rsid w:val="00372B8F"/>
    <w:rsid w:val="003758C9"/>
    <w:rsid w:val="003A6A3D"/>
    <w:rsid w:val="003B5615"/>
    <w:rsid w:val="003C6839"/>
    <w:rsid w:val="003E687E"/>
    <w:rsid w:val="003F0C2C"/>
    <w:rsid w:val="003F77B0"/>
    <w:rsid w:val="00422B85"/>
    <w:rsid w:val="004239B2"/>
    <w:rsid w:val="00434E92"/>
    <w:rsid w:val="00443197"/>
    <w:rsid w:val="00466280"/>
    <w:rsid w:val="004667D3"/>
    <w:rsid w:val="004722FB"/>
    <w:rsid w:val="00493811"/>
    <w:rsid w:val="00496B58"/>
    <w:rsid w:val="004A628B"/>
    <w:rsid w:val="004B3D99"/>
    <w:rsid w:val="004E3023"/>
    <w:rsid w:val="004E51C9"/>
    <w:rsid w:val="004F5A08"/>
    <w:rsid w:val="00504D61"/>
    <w:rsid w:val="00530EC5"/>
    <w:rsid w:val="005464C8"/>
    <w:rsid w:val="00546A53"/>
    <w:rsid w:val="00555F34"/>
    <w:rsid w:val="00560896"/>
    <w:rsid w:val="0057123C"/>
    <w:rsid w:val="005728A3"/>
    <w:rsid w:val="005813CD"/>
    <w:rsid w:val="005912C7"/>
    <w:rsid w:val="00597295"/>
    <w:rsid w:val="005D05AA"/>
    <w:rsid w:val="005D4AD7"/>
    <w:rsid w:val="005E17CB"/>
    <w:rsid w:val="005E1A73"/>
    <w:rsid w:val="00636AF8"/>
    <w:rsid w:val="00647D6B"/>
    <w:rsid w:val="0065003C"/>
    <w:rsid w:val="0065310F"/>
    <w:rsid w:val="00654B3D"/>
    <w:rsid w:val="006569C4"/>
    <w:rsid w:val="00661E22"/>
    <w:rsid w:val="00675808"/>
    <w:rsid w:val="00680789"/>
    <w:rsid w:val="00685089"/>
    <w:rsid w:val="00692E4F"/>
    <w:rsid w:val="00694040"/>
    <w:rsid w:val="006952AF"/>
    <w:rsid w:val="006B6601"/>
    <w:rsid w:val="006B7BD1"/>
    <w:rsid w:val="006D3771"/>
    <w:rsid w:val="006D37F5"/>
    <w:rsid w:val="006E2146"/>
    <w:rsid w:val="006E3396"/>
    <w:rsid w:val="006F3DBE"/>
    <w:rsid w:val="006F4CC6"/>
    <w:rsid w:val="007044C1"/>
    <w:rsid w:val="00723645"/>
    <w:rsid w:val="007325B9"/>
    <w:rsid w:val="00734B93"/>
    <w:rsid w:val="00734D8B"/>
    <w:rsid w:val="0074254B"/>
    <w:rsid w:val="00742FA8"/>
    <w:rsid w:val="00750889"/>
    <w:rsid w:val="00755A77"/>
    <w:rsid w:val="007959C1"/>
    <w:rsid w:val="007A5227"/>
    <w:rsid w:val="007B3B82"/>
    <w:rsid w:val="007D198D"/>
    <w:rsid w:val="007F5D8D"/>
    <w:rsid w:val="00800B2D"/>
    <w:rsid w:val="00814EC6"/>
    <w:rsid w:val="00833496"/>
    <w:rsid w:val="00840C74"/>
    <w:rsid w:val="00841B02"/>
    <w:rsid w:val="0085068A"/>
    <w:rsid w:val="00857FF1"/>
    <w:rsid w:val="008617BA"/>
    <w:rsid w:val="00865967"/>
    <w:rsid w:val="00866204"/>
    <w:rsid w:val="00875D55"/>
    <w:rsid w:val="00882471"/>
    <w:rsid w:val="00887319"/>
    <w:rsid w:val="008873D3"/>
    <w:rsid w:val="008D124A"/>
    <w:rsid w:val="008D425E"/>
    <w:rsid w:val="009018CF"/>
    <w:rsid w:val="00906B87"/>
    <w:rsid w:val="00933358"/>
    <w:rsid w:val="0093357A"/>
    <w:rsid w:val="009341F9"/>
    <w:rsid w:val="009674B0"/>
    <w:rsid w:val="009841C3"/>
    <w:rsid w:val="009934B2"/>
    <w:rsid w:val="009A24C3"/>
    <w:rsid w:val="009C2F11"/>
    <w:rsid w:val="009D056A"/>
    <w:rsid w:val="009D5FD8"/>
    <w:rsid w:val="009D68A7"/>
    <w:rsid w:val="009E2668"/>
    <w:rsid w:val="009E4C05"/>
    <w:rsid w:val="009E5F20"/>
    <w:rsid w:val="00A07FF4"/>
    <w:rsid w:val="00A24822"/>
    <w:rsid w:val="00A30771"/>
    <w:rsid w:val="00A52988"/>
    <w:rsid w:val="00A52FBE"/>
    <w:rsid w:val="00A54D19"/>
    <w:rsid w:val="00A667F1"/>
    <w:rsid w:val="00A70E18"/>
    <w:rsid w:val="00A822F1"/>
    <w:rsid w:val="00A87AB9"/>
    <w:rsid w:val="00A96473"/>
    <w:rsid w:val="00AA1BBD"/>
    <w:rsid w:val="00AA476A"/>
    <w:rsid w:val="00AB195E"/>
    <w:rsid w:val="00AC541D"/>
    <w:rsid w:val="00AD3544"/>
    <w:rsid w:val="00AD5BD0"/>
    <w:rsid w:val="00AE6921"/>
    <w:rsid w:val="00AF5605"/>
    <w:rsid w:val="00B22E3E"/>
    <w:rsid w:val="00B35012"/>
    <w:rsid w:val="00B36582"/>
    <w:rsid w:val="00B43C17"/>
    <w:rsid w:val="00B807B6"/>
    <w:rsid w:val="00BC1E68"/>
    <w:rsid w:val="00BD1ADF"/>
    <w:rsid w:val="00BD26EA"/>
    <w:rsid w:val="00BE3332"/>
    <w:rsid w:val="00BF5595"/>
    <w:rsid w:val="00BF69B2"/>
    <w:rsid w:val="00C05C2D"/>
    <w:rsid w:val="00C45527"/>
    <w:rsid w:val="00C75135"/>
    <w:rsid w:val="00C8542F"/>
    <w:rsid w:val="00C86F4B"/>
    <w:rsid w:val="00C949EE"/>
    <w:rsid w:val="00CB3593"/>
    <w:rsid w:val="00CF1C6F"/>
    <w:rsid w:val="00D01031"/>
    <w:rsid w:val="00D20872"/>
    <w:rsid w:val="00D37016"/>
    <w:rsid w:val="00D446E0"/>
    <w:rsid w:val="00D56E69"/>
    <w:rsid w:val="00D852FF"/>
    <w:rsid w:val="00D96E9B"/>
    <w:rsid w:val="00DA13FD"/>
    <w:rsid w:val="00DC4CDD"/>
    <w:rsid w:val="00DC7320"/>
    <w:rsid w:val="00DE2A71"/>
    <w:rsid w:val="00DE62D3"/>
    <w:rsid w:val="00DF7C08"/>
    <w:rsid w:val="00E13798"/>
    <w:rsid w:val="00E147EE"/>
    <w:rsid w:val="00E24AF1"/>
    <w:rsid w:val="00E30CD6"/>
    <w:rsid w:val="00E3437D"/>
    <w:rsid w:val="00E42A98"/>
    <w:rsid w:val="00E71198"/>
    <w:rsid w:val="00E71A3A"/>
    <w:rsid w:val="00E73169"/>
    <w:rsid w:val="00E84AD6"/>
    <w:rsid w:val="00E97B1E"/>
    <w:rsid w:val="00ED2EDB"/>
    <w:rsid w:val="00EF38B8"/>
    <w:rsid w:val="00EF6149"/>
    <w:rsid w:val="00F070DD"/>
    <w:rsid w:val="00F11007"/>
    <w:rsid w:val="00F24FCA"/>
    <w:rsid w:val="00F26B13"/>
    <w:rsid w:val="00F3151D"/>
    <w:rsid w:val="00F32E37"/>
    <w:rsid w:val="00F448D1"/>
    <w:rsid w:val="00F53D03"/>
    <w:rsid w:val="00F71177"/>
    <w:rsid w:val="00F7793C"/>
    <w:rsid w:val="00F77A57"/>
    <w:rsid w:val="00F847EB"/>
    <w:rsid w:val="00F91B36"/>
    <w:rsid w:val="00FA3024"/>
    <w:rsid w:val="00FA48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668"/>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734B93"/>
  </w:style>
  <w:style w:type="character" w:customStyle="1" w:styleId="gray">
    <w:name w:val="gray"/>
    <w:basedOn w:val="DefaultParagraphFont"/>
    <w:rsid w:val="00734B93"/>
  </w:style>
  <w:style w:type="paragraph" w:customStyle="1" w:styleId="s5abf2410">
    <w:name w:val="s5abf2410"/>
    <w:basedOn w:val="Normal"/>
    <w:rsid w:val="004B3D99"/>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sb8d990e2">
    <w:name w:val="sb8d990e2"/>
    <w:basedOn w:val="DefaultParagraphFont"/>
    <w:rsid w:val="004B3D99"/>
  </w:style>
  <w:style w:type="character" w:customStyle="1" w:styleId="sf97c7c07">
    <w:name w:val="sf97c7c07"/>
    <w:basedOn w:val="DefaultParagraphFont"/>
    <w:rsid w:val="004B3D99"/>
  </w:style>
  <w:style w:type="character" w:customStyle="1" w:styleId="s7d2086b4">
    <w:name w:val="s7d2086b4"/>
    <w:basedOn w:val="DefaultParagraphFont"/>
    <w:rsid w:val="004B3D99"/>
  </w:style>
  <w:style w:type="paragraph" w:customStyle="1" w:styleId="sb331a440">
    <w:name w:val="sb331a440"/>
    <w:basedOn w:val="Normal"/>
    <w:rsid w:val="004B3D99"/>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s6b621b36">
    <w:name w:val="s6b621b36"/>
    <w:basedOn w:val="DefaultParagraphFont"/>
    <w:rsid w:val="004B3D99"/>
  </w:style>
  <w:style w:type="paragraph" w:customStyle="1" w:styleId="COEHI">
    <w:name w:val="COE_HI"/>
    <w:basedOn w:val="Normal"/>
    <w:qFormat/>
    <w:rsid w:val="00CB3593"/>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AE6921"/>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AE6921"/>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AE6921"/>
    <w:rPr>
      <w:rFonts w:ascii="Calibri" w:eastAsiaTheme="minorHAnsi" w:hAnsi="Calibri" w:cs="Calibri"/>
      <w:sz w:val="22"/>
      <w:szCs w:val="22"/>
      <w:lang w:eastAsia="fr-FR"/>
    </w:rPr>
  </w:style>
  <w:style w:type="paragraph" w:customStyle="1" w:styleId="xxxxxmsonormal">
    <w:name w:val="x_x_x_x_xmsonormal"/>
    <w:basedOn w:val="Normal"/>
    <w:rsid w:val="00675808"/>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5464C8"/>
    <w:pPr>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85425">
      <w:bodyDiv w:val="1"/>
      <w:marLeft w:val="0"/>
      <w:marRight w:val="0"/>
      <w:marTop w:val="0"/>
      <w:marBottom w:val="0"/>
      <w:divBdr>
        <w:top w:val="none" w:sz="0" w:space="0" w:color="auto"/>
        <w:left w:val="none" w:sz="0" w:space="0" w:color="auto"/>
        <w:bottom w:val="none" w:sz="0" w:space="0" w:color="auto"/>
        <w:right w:val="none" w:sz="0" w:space="0" w:color="auto"/>
      </w:divBdr>
    </w:div>
    <w:div w:id="49620798">
      <w:bodyDiv w:val="1"/>
      <w:marLeft w:val="0"/>
      <w:marRight w:val="0"/>
      <w:marTop w:val="0"/>
      <w:marBottom w:val="0"/>
      <w:divBdr>
        <w:top w:val="none" w:sz="0" w:space="0" w:color="auto"/>
        <w:left w:val="none" w:sz="0" w:space="0" w:color="auto"/>
        <w:bottom w:val="none" w:sz="0" w:space="0" w:color="auto"/>
        <w:right w:val="none" w:sz="0" w:space="0" w:color="auto"/>
      </w:divBdr>
    </w:div>
    <w:div w:id="183566405">
      <w:bodyDiv w:val="1"/>
      <w:marLeft w:val="0"/>
      <w:marRight w:val="0"/>
      <w:marTop w:val="0"/>
      <w:marBottom w:val="0"/>
      <w:divBdr>
        <w:top w:val="none" w:sz="0" w:space="0" w:color="auto"/>
        <w:left w:val="none" w:sz="0" w:space="0" w:color="auto"/>
        <w:bottom w:val="none" w:sz="0" w:space="0" w:color="auto"/>
        <w:right w:val="none" w:sz="0" w:space="0" w:color="auto"/>
      </w:divBdr>
    </w:div>
    <w:div w:id="191699014">
      <w:bodyDiv w:val="1"/>
      <w:marLeft w:val="0"/>
      <w:marRight w:val="0"/>
      <w:marTop w:val="0"/>
      <w:marBottom w:val="0"/>
      <w:divBdr>
        <w:top w:val="none" w:sz="0" w:space="0" w:color="auto"/>
        <w:left w:val="none" w:sz="0" w:space="0" w:color="auto"/>
        <w:bottom w:val="none" w:sz="0" w:space="0" w:color="auto"/>
        <w:right w:val="none" w:sz="0" w:space="0" w:color="auto"/>
      </w:divBdr>
    </w:div>
    <w:div w:id="244270575">
      <w:bodyDiv w:val="1"/>
      <w:marLeft w:val="0"/>
      <w:marRight w:val="0"/>
      <w:marTop w:val="0"/>
      <w:marBottom w:val="0"/>
      <w:divBdr>
        <w:top w:val="none" w:sz="0" w:space="0" w:color="auto"/>
        <w:left w:val="none" w:sz="0" w:space="0" w:color="auto"/>
        <w:bottom w:val="none" w:sz="0" w:space="0" w:color="auto"/>
        <w:right w:val="none" w:sz="0" w:space="0" w:color="auto"/>
      </w:divBdr>
    </w:div>
    <w:div w:id="249892364">
      <w:bodyDiv w:val="1"/>
      <w:marLeft w:val="0"/>
      <w:marRight w:val="0"/>
      <w:marTop w:val="0"/>
      <w:marBottom w:val="0"/>
      <w:divBdr>
        <w:top w:val="none" w:sz="0" w:space="0" w:color="auto"/>
        <w:left w:val="none" w:sz="0" w:space="0" w:color="auto"/>
        <w:bottom w:val="none" w:sz="0" w:space="0" w:color="auto"/>
        <w:right w:val="none" w:sz="0" w:space="0" w:color="auto"/>
      </w:divBdr>
    </w:div>
    <w:div w:id="288321297">
      <w:bodyDiv w:val="1"/>
      <w:marLeft w:val="0"/>
      <w:marRight w:val="0"/>
      <w:marTop w:val="0"/>
      <w:marBottom w:val="0"/>
      <w:divBdr>
        <w:top w:val="none" w:sz="0" w:space="0" w:color="auto"/>
        <w:left w:val="none" w:sz="0" w:space="0" w:color="auto"/>
        <w:bottom w:val="none" w:sz="0" w:space="0" w:color="auto"/>
        <w:right w:val="none" w:sz="0" w:space="0" w:color="auto"/>
      </w:divBdr>
    </w:div>
    <w:div w:id="306739486">
      <w:bodyDiv w:val="1"/>
      <w:marLeft w:val="0"/>
      <w:marRight w:val="0"/>
      <w:marTop w:val="0"/>
      <w:marBottom w:val="0"/>
      <w:divBdr>
        <w:top w:val="none" w:sz="0" w:space="0" w:color="auto"/>
        <w:left w:val="none" w:sz="0" w:space="0" w:color="auto"/>
        <w:bottom w:val="none" w:sz="0" w:space="0" w:color="auto"/>
        <w:right w:val="none" w:sz="0" w:space="0" w:color="auto"/>
      </w:divBdr>
    </w:div>
    <w:div w:id="515727337">
      <w:bodyDiv w:val="1"/>
      <w:marLeft w:val="0"/>
      <w:marRight w:val="0"/>
      <w:marTop w:val="0"/>
      <w:marBottom w:val="0"/>
      <w:divBdr>
        <w:top w:val="none" w:sz="0" w:space="0" w:color="auto"/>
        <w:left w:val="none" w:sz="0" w:space="0" w:color="auto"/>
        <w:bottom w:val="none" w:sz="0" w:space="0" w:color="auto"/>
        <w:right w:val="none" w:sz="0" w:space="0" w:color="auto"/>
      </w:divBdr>
    </w:div>
    <w:div w:id="570043083">
      <w:bodyDiv w:val="1"/>
      <w:marLeft w:val="0"/>
      <w:marRight w:val="0"/>
      <w:marTop w:val="0"/>
      <w:marBottom w:val="0"/>
      <w:divBdr>
        <w:top w:val="none" w:sz="0" w:space="0" w:color="auto"/>
        <w:left w:val="none" w:sz="0" w:space="0" w:color="auto"/>
        <w:bottom w:val="none" w:sz="0" w:space="0" w:color="auto"/>
        <w:right w:val="none" w:sz="0" w:space="0" w:color="auto"/>
      </w:divBdr>
    </w:div>
    <w:div w:id="593980601">
      <w:bodyDiv w:val="1"/>
      <w:marLeft w:val="0"/>
      <w:marRight w:val="0"/>
      <w:marTop w:val="0"/>
      <w:marBottom w:val="0"/>
      <w:divBdr>
        <w:top w:val="none" w:sz="0" w:space="0" w:color="auto"/>
        <w:left w:val="none" w:sz="0" w:space="0" w:color="auto"/>
        <w:bottom w:val="none" w:sz="0" w:space="0" w:color="auto"/>
        <w:right w:val="none" w:sz="0" w:space="0" w:color="auto"/>
      </w:divBdr>
    </w:div>
    <w:div w:id="599920400">
      <w:bodyDiv w:val="1"/>
      <w:marLeft w:val="0"/>
      <w:marRight w:val="0"/>
      <w:marTop w:val="0"/>
      <w:marBottom w:val="0"/>
      <w:divBdr>
        <w:top w:val="none" w:sz="0" w:space="0" w:color="auto"/>
        <w:left w:val="none" w:sz="0" w:space="0" w:color="auto"/>
        <w:bottom w:val="none" w:sz="0" w:space="0" w:color="auto"/>
        <w:right w:val="none" w:sz="0" w:space="0" w:color="auto"/>
      </w:divBdr>
    </w:div>
    <w:div w:id="635570474">
      <w:bodyDiv w:val="1"/>
      <w:marLeft w:val="0"/>
      <w:marRight w:val="0"/>
      <w:marTop w:val="0"/>
      <w:marBottom w:val="0"/>
      <w:divBdr>
        <w:top w:val="none" w:sz="0" w:space="0" w:color="auto"/>
        <w:left w:val="none" w:sz="0" w:space="0" w:color="auto"/>
        <w:bottom w:val="none" w:sz="0" w:space="0" w:color="auto"/>
        <w:right w:val="none" w:sz="0" w:space="0" w:color="auto"/>
      </w:divBdr>
    </w:div>
    <w:div w:id="699089883">
      <w:bodyDiv w:val="1"/>
      <w:marLeft w:val="0"/>
      <w:marRight w:val="0"/>
      <w:marTop w:val="0"/>
      <w:marBottom w:val="0"/>
      <w:divBdr>
        <w:top w:val="none" w:sz="0" w:space="0" w:color="auto"/>
        <w:left w:val="none" w:sz="0" w:space="0" w:color="auto"/>
        <w:bottom w:val="none" w:sz="0" w:space="0" w:color="auto"/>
        <w:right w:val="none" w:sz="0" w:space="0" w:color="auto"/>
      </w:divBdr>
    </w:div>
    <w:div w:id="901020079">
      <w:bodyDiv w:val="1"/>
      <w:marLeft w:val="0"/>
      <w:marRight w:val="0"/>
      <w:marTop w:val="0"/>
      <w:marBottom w:val="0"/>
      <w:divBdr>
        <w:top w:val="none" w:sz="0" w:space="0" w:color="auto"/>
        <w:left w:val="none" w:sz="0" w:space="0" w:color="auto"/>
        <w:bottom w:val="none" w:sz="0" w:space="0" w:color="auto"/>
        <w:right w:val="none" w:sz="0" w:space="0" w:color="auto"/>
      </w:divBdr>
    </w:div>
    <w:div w:id="1064066272">
      <w:bodyDiv w:val="1"/>
      <w:marLeft w:val="0"/>
      <w:marRight w:val="0"/>
      <w:marTop w:val="0"/>
      <w:marBottom w:val="0"/>
      <w:divBdr>
        <w:top w:val="none" w:sz="0" w:space="0" w:color="auto"/>
        <w:left w:val="none" w:sz="0" w:space="0" w:color="auto"/>
        <w:bottom w:val="none" w:sz="0" w:space="0" w:color="auto"/>
        <w:right w:val="none" w:sz="0" w:space="0" w:color="auto"/>
      </w:divBdr>
    </w:div>
    <w:div w:id="1103376196">
      <w:bodyDiv w:val="1"/>
      <w:marLeft w:val="0"/>
      <w:marRight w:val="0"/>
      <w:marTop w:val="0"/>
      <w:marBottom w:val="0"/>
      <w:divBdr>
        <w:top w:val="none" w:sz="0" w:space="0" w:color="auto"/>
        <w:left w:val="none" w:sz="0" w:space="0" w:color="auto"/>
        <w:bottom w:val="none" w:sz="0" w:space="0" w:color="auto"/>
        <w:right w:val="none" w:sz="0" w:space="0" w:color="auto"/>
      </w:divBdr>
    </w:div>
    <w:div w:id="1224487996">
      <w:bodyDiv w:val="1"/>
      <w:marLeft w:val="0"/>
      <w:marRight w:val="0"/>
      <w:marTop w:val="0"/>
      <w:marBottom w:val="0"/>
      <w:divBdr>
        <w:top w:val="none" w:sz="0" w:space="0" w:color="auto"/>
        <w:left w:val="none" w:sz="0" w:space="0" w:color="auto"/>
        <w:bottom w:val="none" w:sz="0" w:space="0" w:color="auto"/>
        <w:right w:val="none" w:sz="0" w:space="0" w:color="auto"/>
      </w:divBdr>
    </w:div>
    <w:div w:id="1298998505">
      <w:bodyDiv w:val="1"/>
      <w:marLeft w:val="0"/>
      <w:marRight w:val="0"/>
      <w:marTop w:val="0"/>
      <w:marBottom w:val="0"/>
      <w:divBdr>
        <w:top w:val="none" w:sz="0" w:space="0" w:color="auto"/>
        <w:left w:val="none" w:sz="0" w:space="0" w:color="auto"/>
        <w:bottom w:val="none" w:sz="0" w:space="0" w:color="auto"/>
        <w:right w:val="none" w:sz="0" w:space="0" w:color="auto"/>
      </w:divBdr>
    </w:div>
    <w:div w:id="1460684504">
      <w:bodyDiv w:val="1"/>
      <w:marLeft w:val="0"/>
      <w:marRight w:val="0"/>
      <w:marTop w:val="0"/>
      <w:marBottom w:val="0"/>
      <w:divBdr>
        <w:top w:val="none" w:sz="0" w:space="0" w:color="auto"/>
        <w:left w:val="none" w:sz="0" w:space="0" w:color="auto"/>
        <w:bottom w:val="none" w:sz="0" w:space="0" w:color="auto"/>
        <w:right w:val="none" w:sz="0" w:space="0" w:color="auto"/>
      </w:divBdr>
    </w:div>
    <w:div w:id="1503541622">
      <w:bodyDiv w:val="1"/>
      <w:marLeft w:val="0"/>
      <w:marRight w:val="0"/>
      <w:marTop w:val="0"/>
      <w:marBottom w:val="0"/>
      <w:divBdr>
        <w:top w:val="none" w:sz="0" w:space="0" w:color="auto"/>
        <w:left w:val="none" w:sz="0" w:space="0" w:color="auto"/>
        <w:bottom w:val="none" w:sz="0" w:space="0" w:color="auto"/>
        <w:right w:val="none" w:sz="0" w:space="0" w:color="auto"/>
      </w:divBdr>
    </w:div>
    <w:div w:id="1536457157">
      <w:bodyDiv w:val="1"/>
      <w:marLeft w:val="0"/>
      <w:marRight w:val="0"/>
      <w:marTop w:val="0"/>
      <w:marBottom w:val="0"/>
      <w:divBdr>
        <w:top w:val="none" w:sz="0" w:space="0" w:color="auto"/>
        <w:left w:val="none" w:sz="0" w:space="0" w:color="auto"/>
        <w:bottom w:val="none" w:sz="0" w:space="0" w:color="auto"/>
        <w:right w:val="none" w:sz="0" w:space="0" w:color="auto"/>
      </w:divBdr>
    </w:div>
    <w:div w:id="1544559217">
      <w:bodyDiv w:val="1"/>
      <w:marLeft w:val="0"/>
      <w:marRight w:val="0"/>
      <w:marTop w:val="0"/>
      <w:marBottom w:val="0"/>
      <w:divBdr>
        <w:top w:val="none" w:sz="0" w:space="0" w:color="auto"/>
        <w:left w:val="none" w:sz="0" w:space="0" w:color="auto"/>
        <w:bottom w:val="none" w:sz="0" w:space="0" w:color="auto"/>
        <w:right w:val="none" w:sz="0" w:space="0" w:color="auto"/>
      </w:divBdr>
    </w:div>
    <w:div w:id="1568959825">
      <w:bodyDiv w:val="1"/>
      <w:marLeft w:val="0"/>
      <w:marRight w:val="0"/>
      <w:marTop w:val="0"/>
      <w:marBottom w:val="0"/>
      <w:divBdr>
        <w:top w:val="none" w:sz="0" w:space="0" w:color="auto"/>
        <w:left w:val="none" w:sz="0" w:space="0" w:color="auto"/>
        <w:bottom w:val="none" w:sz="0" w:space="0" w:color="auto"/>
        <w:right w:val="none" w:sz="0" w:space="0" w:color="auto"/>
      </w:divBdr>
    </w:div>
    <w:div w:id="1593005901">
      <w:bodyDiv w:val="1"/>
      <w:marLeft w:val="0"/>
      <w:marRight w:val="0"/>
      <w:marTop w:val="0"/>
      <w:marBottom w:val="0"/>
      <w:divBdr>
        <w:top w:val="none" w:sz="0" w:space="0" w:color="auto"/>
        <w:left w:val="none" w:sz="0" w:space="0" w:color="auto"/>
        <w:bottom w:val="none" w:sz="0" w:space="0" w:color="auto"/>
        <w:right w:val="none" w:sz="0" w:space="0" w:color="auto"/>
      </w:divBdr>
    </w:div>
    <w:div w:id="1596134544">
      <w:bodyDiv w:val="1"/>
      <w:marLeft w:val="0"/>
      <w:marRight w:val="0"/>
      <w:marTop w:val="0"/>
      <w:marBottom w:val="0"/>
      <w:divBdr>
        <w:top w:val="none" w:sz="0" w:space="0" w:color="auto"/>
        <w:left w:val="none" w:sz="0" w:space="0" w:color="auto"/>
        <w:bottom w:val="none" w:sz="0" w:space="0" w:color="auto"/>
        <w:right w:val="none" w:sz="0" w:space="0" w:color="auto"/>
      </w:divBdr>
    </w:div>
    <w:div w:id="1702896491">
      <w:bodyDiv w:val="1"/>
      <w:marLeft w:val="0"/>
      <w:marRight w:val="0"/>
      <w:marTop w:val="0"/>
      <w:marBottom w:val="0"/>
      <w:divBdr>
        <w:top w:val="none" w:sz="0" w:space="0" w:color="auto"/>
        <w:left w:val="none" w:sz="0" w:space="0" w:color="auto"/>
        <w:bottom w:val="none" w:sz="0" w:space="0" w:color="auto"/>
        <w:right w:val="none" w:sz="0" w:space="0" w:color="auto"/>
      </w:divBdr>
    </w:div>
    <w:div w:id="1759403699">
      <w:bodyDiv w:val="1"/>
      <w:marLeft w:val="0"/>
      <w:marRight w:val="0"/>
      <w:marTop w:val="0"/>
      <w:marBottom w:val="0"/>
      <w:divBdr>
        <w:top w:val="none" w:sz="0" w:space="0" w:color="auto"/>
        <w:left w:val="none" w:sz="0" w:space="0" w:color="auto"/>
        <w:bottom w:val="none" w:sz="0" w:space="0" w:color="auto"/>
        <w:right w:val="none" w:sz="0" w:space="0" w:color="auto"/>
      </w:divBdr>
    </w:div>
    <w:div w:id="1836729190">
      <w:bodyDiv w:val="1"/>
      <w:marLeft w:val="0"/>
      <w:marRight w:val="0"/>
      <w:marTop w:val="0"/>
      <w:marBottom w:val="0"/>
      <w:divBdr>
        <w:top w:val="none" w:sz="0" w:space="0" w:color="auto"/>
        <w:left w:val="none" w:sz="0" w:space="0" w:color="auto"/>
        <w:bottom w:val="none" w:sz="0" w:space="0" w:color="auto"/>
        <w:right w:val="none" w:sz="0" w:space="0" w:color="auto"/>
      </w:divBdr>
    </w:div>
    <w:div w:id="1904558106">
      <w:bodyDiv w:val="1"/>
      <w:marLeft w:val="0"/>
      <w:marRight w:val="0"/>
      <w:marTop w:val="0"/>
      <w:marBottom w:val="0"/>
      <w:divBdr>
        <w:top w:val="none" w:sz="0" w:space="0" w:color="auto"/>
        <w:left w:val="none" w:sz="0" w:space="0" w:color="auto"/>
        <w:bottom w:val="none" w:sz="0" w:space="0" w:color="auto"/>
        <w:right w:val="none" w:sz="0" w:space="0" w:color="auto"/>
      </w:divBdr>
    </w:div>
    <w:div w:id="1930116964">
      <w:bodyDiv w:val="1"/>
      <w:marLeft w:val="0"/>
      <w:marRight w:val="0"/>
      <w:marTop w:val="0"/>
      <w:marBottom w:val="0"/>
      <w:divBdr>
        <w:top w:val="none" w:sz="0" w:space="0" w:color="auto"/>
        <w:left w:val="none" w:sz="0" w:space="0" w:color="auto"/>
        <w:bottom w:val="none" w:sz="0" w:space="0" w:color="auto"/>
        <w:right w:val="none" w:sz="0" w:space="0" w:color="auto"/>
      </w:divBdr>
    </w:div>
    <w:div w:id="1979647304">
      <w:bodyDiv w:val="1"/>
      <w:marLeft w:val="0"/>
      <w:marRight w:val="0"/>
      <w:marTop w:val="0"/>
      <w:marBottom w:val="0"/>
      <w:divBdr>
        <w:top w:val="none" w:sz="0" w:space="0" w:color="auto"/>
        <w:left w:val="none" w:sz="0" w:space="0" w:color="auto"/>
        <w:bottom w:val="none" w:sz="0" w:space="0" w:color="auto"/>
        <w:right w:val="none" w:sz="0" w:space="0" w:color="auto"/>
      </w:divBdr>
    </w:div>
    <w:div w:id="1989554340">
      <w:bodyDiv w:val="1"/>
      <w:marLeft w:val="0"/>
      <w:marRight w:val="0"/>
      <w:marTop w:val="0"/>
      <w:marBottom w:val="0"/>
      <w:divBdr>
        <w:top w:val="none" w:sz="0" w:space="0" w:color="auto"/>
        <w:left w:val="none" w:sz="0" w:space="0" w:color="auto"/>
        <w:bottom w:val="none" w:sz="0" w:space="0" w:color="auto"/>
        <w:right w:val="none" w:sz="0" w:space="0" w:color="auto"/>
      </w:divBdr>
    </w:div>
    <w:div w:id="203365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oe.int/en/web/commissioner/-/spain-the-review-of-the-2015-law-on-citizens-safety-should-result-in-better-protecting-human-rights"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coe.int/fourth-evaluation-round-corruption-prevention-in-respect-of-members-of/1680a93b2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m.coe.int/fourth-evaluation-round-corruption-prevention-in-respect-of-members-of/1680a93b2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web/cepej/country-profiles/spain" TargetMode="External"/><Relationship Id="rId5" Type="http://schemas.openxmlformats.org/officeDocument/2006/relationships/webSettings" Target="webSettings.xml"/><Relationship Id="rId15" Type="http://schemas.openxmlformats.org/officeDocument/2006/relationships/hyperlink" Target="https://search.coe.int/cm/Pages/result_details.aspx?Reference=CM/Del/Dec(2022)1436/H46-33" TargetMode="External"/><Relationship Id="rId10" Type="http://schemas.openxmlformats.org/officeDocument/2006/relationships/hyperlink" Target="https://rm.coe.int/spain-country-fiche/1680a778a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m.coe.int/country-profile-spain-en/1680a9673e" TargetMode="External"/><Relationship Id="rId14" Type="http://schemas.openxmlformats.org/officeDocument/2006/relationships/hyperlink" Target="https://www.coe.int/en/web/execution/spa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D5260-2563-4980-9B0E-363A34638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Pages>
  <Words>373</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NEDELJKOVIC Katarina</cp:lastModifiedBy>
  <cp:revision>6</cp:revision>
  <dcterms:created xsi:type="dcterms:W3CDTF">2023-01-18T16:37:00Z</dcterms:created>
  <dcterms:modified xsi:type="dcterms:W3CDTF">2023-01-19T11:57:00Z</dcterms:modified>
</cp:coreProperties>
</file>